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7A620623" w:rsidR="00497189" w:rsidRDefault="007150CC"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67456" behindDoc="1" locked="0" layoutInCell="1" allowOverlap="1" wp14:anchorId="53D85001" wp14:editId="2848637E">
            <wp:simplePos x="0" y="0"/>
            <wp:positionH relativeFrom="page">
              <wp:posOffset>5891794</wp:posOffset>
            </wp:positionH>
            <wp:positionV relativeFrom="paragraph">
              <wp:posOffset>235692</wp:posOffset>
            </wp:positionV>
            <wp:extent cx="1189990" cy="810260"/>
            <wp:effectExtent l="0" t="0" r="0" b="8890"/>
            <wp:wrapTight wrapText="bothSides">
              <wp:wrapPolygon edited="0">
                <wp:start x="0" y="0"/>
                <wp:lineTo x="0" y="21329"/>
                <wp:lineTo x="21093" y="21329"/>
                <wp:lineTo x="21093" y="0"/>
                <wp:lineTo x="0" y="0"/>
              </wp:wrapPolygon>
            </wp:wrapTight>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647"/>
                    <a:stretch>
                      <a:fillRect/>
                    </a:stretch>
                  </pic:blipFill>
                  <pic:spPr bwMode="auto">
                    <a:xfrm>
                      <a:off x="0" y="0"/>
                      <a:ext cx="1189990" cy="81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89">
        <w:t xml:space="preserve">DESCRIPTIF TYPE PLAFOND </w:t>
      </w:r>
    </w:p>
    <w:p w14:paraId="47BE716A" w14:textId="2CB7BE89" w:rsidR="003D6A40" w:rsidRPr="003D7C08" w:rsidRDefault="003D6A40" w:rsidP="003D7C08">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bookmarkEnd w:id="3"/>
    <w:bookmarkEnd w:id="4"/>
    <w:bookmarkEnd w:id="5"/>
    <w:bookmarkEnd w:id="6"/>
    <w:bookmarkEnd w:id="7"/>
    <w:bookmarkEnd w:id="8"/>
    <w:bookmarkEnd w:id="9"/>
    <w:bookmarkEnd w:id="10"/>
    <w:bookmarkEnd w:id="11"/>
    <w:bookmarkEnd w:id="12"/>
    <w:bookmarkEnd w:id="13"/>
    <w:p w14:paraId="40C444D2" w14:textId="201552B5" w:rsidR="00980777" w:rsidRDefault="007150CC" w:rsidP="00980777">
      <w:pPr>
        <w:pStyle w:val="Titre7"/>
        <w:rPr>
          <w:rFonts w:ascii="Arial" w:hAnsi="Arial"/>
          <w:sz w:val="22"/>
          <w:szCs w:val="22"/>
        </w:rPr>
      </w:pPr>
      <w:r>
        <w:rPr>
          <w:noProof/>
        </w:rPr>
        <mc:AlternateContent>
          <mc:Choice Requires="wps">
            <w:drawing>
              <wp:anchor distT="0" distB="0" distL="114300" distR="114300" simplePos="0" relativeHeight="251669504" behindDoc="0" locked="0" layoutInCell="1" allowOverlap="1" wp14:anchorId="7B6EC279" wp14:editId="5B91B9E6">
                <wp:simplePos x="0" y="0"/>
                <wp:positionH relativeFrom="column">
                  <wp:posOffset>6366294</wp:posOffset>
                </wp:positionH>
                <wp:positionV relativeFrom="paragraph">
                  <wp:posOffset>16618</wp:posOffset>
                </wp:positionV>
                <wp:extent cx="338334" cy="264336"/>
                <wp:effectExtent l="0" t="0" r="0" b="0"/>
                <wp:wrapNone/>
                <wp:docPr id="759163242" name="Zone de texte 5"/>
                <wp:cNvGraphicFramePr/>
                <a:graphic xmlns:a="http://schemas.openxmlformats.org/drawingml/2006/main">
                  <a:graphicData uri="http://schemas.microsoft.com/office/word/2010/wordprocessingShape">
                    <wps:wsp>
                      <wps:cNvSpPr txBox="1"/>
                      <wps:spPr>
                        <a:xfrm rot="16200000">
                          <a:off x="0" y="0"/>
                          <a:ext cx="338334" cy="26433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5B9054F" w14:textId="77777777" w:rsidR="007150CC" w:rsidRPr="00C17232" w:rsidRDefault="007150CC" w:rsidP="007150CC">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EC279" id="_x0000_t202" coordsize="21600,21600" o:spt="202" path="m,l,21600r21600,l21600,xe">
                <v:stroke joinstyle="miter"/>
                <v:path gradientshapeok="t" o:connecttype="rect"/>
              </v:shapetype>
              <v:shape id="Zone de texte 5" o:spid="_x0000_s1026" type="#_x0000_t202" style="position:absolute;margin-left:501.3pt;margin-top:1.3pt;width:26.65pt;height:20.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" filled="f" stroked="f" strokeweight="2pt">
                <v:textbox>
                  <w:txbxContent>
                    <w:p w14:paraId="55B9054F" w14:textId="77777777" w:rsidR="007150CC" w:rsidRPr="00C17232" w:rsidRDefault="007150CC" w:rsidP="007150CC">
                      <w:pPr>
                        <w:rPr>
                          <w:rFonts w:ascii="Aptos Narrow" w:hAnsi="Aptos Narrow"/>
                        </w:rPr>
                      </w:pPr>
                      <w:r>
                        <w:rPr>
                          <w:rFonts w:ascii="Aptos Narrow" w:hAnsi="Aptos Narrow"/>
                        </w:rPr>
                        <w:t>15</w:t>
                      </w:r>
                    </w:p>
                  </w:txbxContent>
                </v:textbox>
              </v:shape>
            </w:pict>
          </mc:Fallback>
        </mc:AlternateContent>
      </w:r>
      <w:r w:rsidR="00BF1BF1">
        <w:rPr>
          <w:rFonts w:eastAsiaTheme="minorHAnsi"/>
          <w:noProof/>
          <w:sz w:val="24"/>
          <w:szCs w:val="24"/>
        </w:rPr>
        <mc:AlternateContent>
          <mc:Choice Requires="wps">
            <w:drawing>
              <wp:anchor distT="0" distB="0" distL="114300" distR="114300" simplePos="0" relativeHeight="251665408" behindDoc="0" locked="0" layoutInCell="1" allowOverlap="1" wp14:anchorId="7703A9C6" wp14:editId="4F84EEDD">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629501FF" w14:textId="77777777" w:rsidR="00BF1BF1" w:rsidRDefault="00BF1BF1" w:rsidP="00BF1BF1">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3A9C6" id="Zone de texte 1"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629501FF" w14:textId="77777777" w:rsidR="00BF1BF1" w:rsidRDefault="00BF1BF1" w:rsidP="00BF1BF1">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p>
    <w:p w14:paraId="40692C38" w14:textId="0037DE91" w:rsidR="00F258AB" w:rsidRDefault="00F258AB" w:rsidP="00980777">
      <w:pPr>
        <w:pStyle w:val="Titre7"/>
        <w:rPr>
          <w:rFonts w:ascii="Arial" w:hAnsi="Arial"/>
          <w:sz w:val="22"/>
          <w:szCs w:val="22"/>
        </w:rPr>
      </w:pPr>
    </w:p>
    <w:p w14:paraId="0FCDFE0C" w14:textId="201428AD" w:rsidR="00A10ACE" w:rsidRPr="00980777" w:rsidRDefault="003D7C08" w:rsidP="00980777">
      <w:pPr>
        <w:pStyle w:val="Titre7"/>
        <w:rPr>
          <w:rFonts w:ascii="Arial" w:hAnsi="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A4061A7" w14:textId="77777777" w:rsidR="00980777" w:rsidRDefault="00980777" w:rsidP="00980777">
      <w:pPr>
        <w:pStyle w:val="Titre7"/>
        <w:rPr>
          <w:rFonts w:ascii="Arial" w:hAnsi="Arial"/>
          <w:sz w:val="22"/>
          <w:szCs w:val="22"/>
        </w:rPr>
      </w:pPr>
      <w:r>
        <w:rPr>
          <w:rFonts w:ascii="Arial" w:hAnsi="Arial"/>
          <w:sz w:val="22"/>
          <w:szCs w:val="22"/>
        </w:rPr>
        <w:t>P</w:t>
      </w:r>
      <w:r w:rsidRPr="00BD71D7">
        <w:rPr>
          <w:rFonts w:ascii="Arial" w:hAnsi="Arial"/>
          <w:sz w:val="22"/>
          <w:szCs w:val="22"/>
        </w:rPr>
        <w:t xml:space="preserve">lafond suspendu </w:t>
      </w:r>
      <w:r>
        <w:rPr>
          <w:rFonts w:ascii="Arial" w:hAnsi="Arial"/>
          <w:sz w:val="22"/>
          <w:szCs w:val="22"/>
        </w:rPr>
        <w:t>à bord type A</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4E78301F" w14:textId="4DBFB36C" w:rsidR="00456330" w:rsidRDefault="00456330" w:rsidP="00456330">
      <w:pPr>
        <w:jc w:val="both"/>
        <w:rPr>
          <w:rFonts w:ascii="Arial" w:hAnsi="Arial" w:cs="Arial"/>
          <w:sz w:val="18"/>
          <w:szCs w:val="18"/>
        </w:rPr>
      </w:pPr>
      <w:r>
        <w:rPr>
          <w:rFonts w:ascii="Arial" w:hAnsi="Arial" w:cs="Arial"/>
          <w:sz w:val="18"/>
          <w:szCs w:val="18"/>
        </w:rPr>
        <w:t xml:space="preserve">Le plafond sera constitué de panneaux rigides autoportants de à </w:t>
      </w:r>
      <w:r>
        <w:rPr>
          <w:rFonts w:ascii="Arial" w:hAnsi="Arial" w:cs="Arial"/>
          <w:b/>
          <w:sz w:val="18"/>
          <w:szCs w:val="18"/>
        </w:rPr>
        <w:t>bords droits (A)</w:t>
      </w:r>
      <w:r>
        <w:rPr>
          <w:rFonts w:ascii="Arial" w:hAnsi="Arial" w:cs="Arial"/>
          <w:sz w:val="18"/>
          <w:szCs w:val="18"/>
        </w:rPr>
        <w:t xml:space="preserve"> revêtu sur la face apparente d’un voile décoratif en fibre de verre blanc, et renforcé par un voile de verre naturel en contreface. </w:t>
      </w:r>
    </w:p>
    <w:p w14:paraId="194C223B" w14:textId="0DB06CBF" w:rsidR="00C90AA7" w:rsidRDefault="00C90AA7" w:rsidP="00456330">
      <w:pPr>
        <w:jc w:val="both"/>
        <w:rPr>
          <w:rFonts w:ascii="Arial" w:hAnsi="Arial" w:cs="Arial"/>
          <w:sz w:val="18"/>
          <w:szCs w:val="18"/>
        </w:rPr>
      </w:pPr>
    </w:p>
    <w:p w14:paraId="143D11DF" w14:textId="2148D5AA" w:rsidR="00C90AA7" w:rsidRPr="00C90AA7" w:rsidRDefault="00C90AA7" w:rsidP="00456330">
      <w:pPr>
        <w:jc w:val="both"/>
        <w:rPr>
          <w:rFonts w:ascii="Arial" w:hAnsi="Arial" w:cs="Arial"/>
          <w:color w:val="000000"/>
          <w:sz w:val="18"/>
          <w:szCs w:val="18"/>
        </w:rPr>
      </w:pPr>
      <w:bookmarkStart w:id="14" w:name="_Hlk230871140"/>
      <w:r>
        <w:rPr>
          <w:rFonts w:ascii="Arial" w:hAnsi="Arial" w:cs="Arial"/>
          <w:color w:val="000000"/>
          <w:sz w:val="18"/>
          <w:szCs w:val="18"/>
        </w:rPr>
        <w:t xml:space="preserve">Les panneaux seront composés d'une laine de roche de haute densité. </w:t>
      </w:r>
      <w:r>
        <w:rPr>
          <w:rFonts w:ascii="Arial" w:hAnsi="Arial" w:cs="Arial"/>
          <w:sz w:val="18"/>
          <w:szCs w:val="18"/>
        </w:rPr>
        <w:t xml:space="preserve">La surface exposée sera traitée en voile décoratif en fibre de verre de couleur blanche, et la face cachée comprendra </w:t>
      </w:r>
      <w:r w:rsidR="00613A2D">
        <w:rPr>
          <w:rFonts w:ascii="Arial" w:hAnsi="Arial" w:cs="Arial"/>
          <w:sz w:val="18"/>
          <w:szCs w:val="18"/>
        </w:rPr>
        <w:t>un voile</w:t>
      </w:r>
      <w:r>
        <w:rPr>
          <w:rFonts w:ascii="Arial" w:hAnsi="Arial" w:cs="Arial"/>
          <w:sz w:val="18"/>
          <w:szCs w:val="18"/>
        </w:rPr>
        <w:t xml:space="preserve"> de verre</w:t>
      </w:r>
      <w:r w:rsidR="00613A2D">
        <w:rPr>
          <w:rFonts w:ascii="Arial" w:hAnsi="Arial" w:cs="Arial"/>
          <w:sz w:val="18"/>
          <w:szCs w:val="18"/>
        </w:rPr>
        <w:t xml:space="preserve"> naturel</w:t>
      </w:r>
      <w:r>
        <w:rPr>
          <w:rFonts w:ascii="Arial" w:hAnsi="Arial" w:cs="Arial"/>
          <w:color w:val="000000"/>
          <w:sz w:val="18"/>
          <w:szCs w:val="18"/>
        </w:rPr>
        <w:t>.</w:t>
      </w:r>
    </w:p>
    <w:bookmarkEnd w:id="14"/>
    <w:p w14:paraId="352EEC5C" w14:textId="5E647A8F" w:rsidR="00BD4C8B" w:rsidRDefault="00BD4C8B"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600 X 600 mm" w:value="600 X 600 mm"/>
            <w:listItem w:displayText="1200 X 600 mm" w:value="1200 X 6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15mm.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2A78B99B"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w:t>
      </w:r>
      <w:r w:rsidR="005D6B49">
        <w:rPr>
          <w:rFonts w:ascii="Arial" w:hAnsi="Arial" w:cs="Arial"/>
          <w:sz w:val="18"/>
          <w:szCs w:val="18"/>
        </w:rPr>
        <w:t>78</w:t>
      </w:r>
      <w:r>
        <w:rPr>
          <w:rFonts w:ascii="Arial" w:hAnsi="Arial" w:cs="Arial"/>
          <w:sz w:val="18"/>
          <w:szCs w:val="18"/>
        </w:rPr>
        <w:t>% de réflexion lumineuse. L = 9</w:t>
      </w:r>
      <w:r w:rsidR="005D6B49">
        <w:rPr>
          <w:rFonts w:ascii="Arial" w:hAnsi="Arial" w:cs="Arial"/>
          <w:sz w:val="18"/>
          <w:szCs w:val="18"/>
        </w:rPr>
        <w:t>1</w:t>
      </w:r>
      <w:r>
        <w:rPr>
          <w:rFonts w:ascii="Arial" w:hAnsi="Arial" w:cs="Arial"/>
          <w:sz w:val="18"/>
          <w:szCs w:val="18"/>
        </w:rPr>
        <w:t xml:space="preserve">% selon la norme ISO 11664-4. Brillance : Mate – Le niveau de brillance sera </w:t>
      </w:r>
      <w:r w:rsidR="00567161">
        <w:rPr>
          <w:rFonts w:ascii="Arial" w:hAnsi="Arial" w:cs="Arial"/>
          <w:sz w:val="18"/>
          <w:szCs w:val="18"/>
        </w:rPr>
        <w:t xml:space="preserve">1.1 à un angle </w:t>
      </w:r>
      <w:r>
        <w:rPr>
          <w:rFonts w:ascii="Arial" w:hAnsi="Arial" w:cs="Arial"/>
          <w:sz w:val="18"/>
          <w:szCs w:val="18"/>
        </w:rPr>
        <w:t xml:space="preserve">de 85° - selon la norme ISO 2813. </w:t>
      </w:r>
    </w:p>
    <w:p w14:paraId="4F1705CD" w14:textId="77777777" w:rsidR="00F17B56" w:rsidRDefault="00F17B56" w:rsidP="00822E00">
      <w:pPr>
        <w:jc w:val="both"/>
        <w:outlineLvl w:val="0"/>
        <w:rPr>
          <w:rFonts w:ascii="Arial" w:hAnsi="Arial" w:cs="Arial"/>
          <w:b/>
          <w:sz w:val="18"/>
          <w:szCs w:val="18"/>
        </w:rPr>
      </w:pPr>
    </w:p>
    <w:p w14:paraId="43F26A85" w14:textId="7959E13D"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0.95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3DB7A545" w:rsidR="003B6D8D" w:rsidRPr="00CC0ECA" w:rsidRDefault="00980777" w:rsidP="003B6D8D">
            <w:pPr>
              <w:jc w:val="center"/>
              <w:rPr>
                <w:rFonts w:ascii="Arial" w:hAnsi="Arial" w:cs="Arial"/>
                <w:b/>
                <w:sz w:val="18"/>
                <w:szCs w:val="18"/>
              </w:rPr>
            </w:pPr>
            <w:r>
              <w:rPr>
                <w:rFonts w:ascii="Arial" w:hAnsi="Arial" w:cs="Arial"/>
                <w:b/>
                <w:sz w:val="18"/>
                <w:szCs w:val="18"/>
              </w:rPr>
              <w:t xml:space="preserve">PLAFOND BORD A  </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15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0.40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E98F6B6" w14:textId="77777777" w:rsidR="00D41E0A" w:rsidRDefault="00D41E0A" w:rsidP="003B6D8D">
      <w:pPr>
        <w:jc w:val="both"/>
        <w:outlineLvl w:val="0"/>
        <w:rPr>
          <w:rFonts w:ascii="Arial" w:hAnsi="Arial" w:cs="Arial"/>
          <w:sz w:val="18"/>
          <w:szCs w:val="18"/>
        </w:rPr>
      </w:pPr>
    </w:p>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488D9283" w:rsidR="003B6D8D" w:rsidRDefault="00C90AA7" w:rsidP="003B6D8D">
      <w:pPr>
        <w:jc w:val="both"/>
        <w:rPr>
          <w:rFonts w:ascii="Arial" w:hAnsi="Arial" w:cs="Arial"/>
          <w:b/>
          <w:color w:val="000000"/>
          <w:sz w:val="18"/>
          <w:szCs w:val="18"/>
        </w:rPr>
      </w:pPr>
      <w:r w:rsidRPr="00567161">
        <w:rPr>
          <w:rFonts w:ascii="Arial" w:hAnsi="Arial" w:cs="Arial"/>
          <w:b/>
          <w:color w:val="000000"/>
          <w:sz w:val="18"/>
          <w:szCs w:val="18"/>
        </w:rPr>
        <w:t>Réaction au Feu</w:t>
      </w:r>
      <w:r>
        <w:rPr>
          <w:rFonts w:ascii="Arial" w:hAnsi="Arial" w:cs="Arial"/>
          <w:b/>
          <w:color w:val="000000"/>
          <w:sz w:val="18"/>
          <w:szCs w:val="18"/>
        </w:rPr>
        <w:t> :</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Euroclasse</w:t>
      </w:r>
      <w:proofErr w:type="spellEnd"/>
      <w:r>
        <w:rPr>
          <w:rFonts w:ascii="Arial" w:hAnsi="Arial" w:cs="Arial"/>
          <w:b/>
          <w:color w:val="000000"/>
          <w:sz w:val="18"/>
          <w:szCs w:val="18"/>
        </w:rPr>
        <w:t xml:space="preserve"> </w:t>
      </w:r>
      <w:r w:rsidR="00567161" w:rsidRPr="00567161">
        <w:rPr>
          <w:rFonts w:ascii="Arial" w:hAnsi="Arial" w:cs="Arial"/>
          <w:b/>
          <w:bCs/>
          <w:color w:val="000000" w:themeColor="text1"/>
          <w:sz w:val="18"/>
          <w:szCs w:val="18"/>
        </w:rPr>
        <w:t>A1</w:t>
      </w:r>
      <w:r w:rsidR="00567161">
        <w:rPr>
          <w:rFonts w:ascii="Arial" w:hAnsi="Arial" w:cs="Arial"/>
          <w:b/>
          <w:bCs/>
          <w:color w:val="000000" w:themeColor="text1"/>
          <w:sz w:val="18"/>
          <w:szCs w:val="18"/>
        </w:rPr>
        <w:t>.</w:t>
      </w:r>
    </w:p>
    <w:p w14:paraId="727B948A" w14:textId="77777777" w:rsidR="00E44676" w:rsidRPr="0049039C" w:rsidRDefault="00E44676" w:rsidP="003B6D8D">
      <w:pPr>
        <w:jc w:val="both"/>
        <w:rPr>
          <w:rFonts w:ascii="Arial" w:hAnsi="Arial" w:cs="Arial"/>
          <w:color w:val="FF0000"/>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 et Eurofins Confort de l’air intérieur® Gold.</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5" w:name="_Hlk127797999"/>
      <w:r>
        <w:rPr>
          <w:rFonts w:ascii="Arial" w:hAnsi="Arial" w:cs="Arial"/>
          <w:sz w:val="18"/>
          <w:szCs w:val="18"/>
        </w:rPr>
        <w:t>Les dalles seront 100% recyclables et les rebuts de production seront majoritairement recyclés. Le contenu recyclé sera de 23%.</w:t>
      </w:r>
    </w:p>
    <w:p w14:paraId="23383F29" w14:textId="0CFAE987" w:rsidR="007A3FFD" w:rsidRDefault="007A3FFD" w:rsidP="007A3FFD">
      <w:pPr>
        <w:jc w:val="both"/>
        <w:rPr>
          <w:rFonts w:ascii="Arial" w:hAnsi="Arial" w:cs="Arial"/>
          <w:sz w:val="18"/>
          <w:szCs w:val="18"/>
        </w:rPr>
      </w:pPr>
    </w:p>
    <w:p w14:paraId="6163E8E7" w14:textId="0F66B6AC" w:rsidR="007A3FFD" w:rsidRPr="00ED266C" w:rsidRDefault="007A3FFD" w:rsidP="007A3FFD">
      <w:pPr>
        <w:jc w:val="both"/>
        <w:outlineLvl w:val="0"/>
        <w:rPr>
          <w:rFonts w:ascii="Arial" w:hAnsi="Arial" w:cs="Arial"/>
          <w:sz w:val="18"/>
          <w:szCs w:val="18"/>
        </w:rPr>
      </w:pPr>
      <w:bookmarkStart w:id="16" w:name="_Hlk125964164"/>
      <w:r>
        <w:rPr>
          <w:rFonts w:ascii="Arial" w:hAnsi="Arial" w:cs="Arial"/>
          <w:b/>
          <w:sz w:val="18"/>
          <w:szCs w:val="18"/>
        </w:rPr>
        <w:t>Empreinte environnementale :</w:t>
      </w:r>
      <w:r>
        <w:rPr>
          <w:rFonts w:ascii="Arial" w:hAnsi="Arial" w:cs="Arial"/>
          <w:sz w:val="18"/>
          <w:szCs w:val="18"/>
        </w:rPr>
        <w:t xml:space="preserve"> </w:t>
      </w:r>
      <w:bookmarkStart w:id="17" w:name="_Hlk125708657"/>
      <w:r w:rsidR="0034731F" w:rsidRPr="00741E29">
        <w:rPr>
          <w:rFonts w:ascii="Arial" w:hAnsi="Arial" w:cs="Arial"/>
          <w:bCs/>
          <w:sz w:val="18"/>
          <w:szCs w:val="18"/>
        </w:rPr>
        <w:t xml:space="preserve">L’empreinte environnementale est de </w:t>
      </w:r>
      <w:r w:rsidR="0034731F">
        <w:rPr>
          <w:rFonts w:ascii="Arial" w:hAnsi="Arial" w:cs="Arial"/>
          <w:bCs/>
          <w:sz w:val="18"/>
          <w:szCs w:val="18"/>
        </w:rPr>
        <w:t>2,63</w:t>
      </w:r>
      <w:r w:rsidR="0034731F" w:rsidRPr="00741E29">
        <w:rPr>
          <w:rFonts w:ascii="Arial" w:hAnsi="Arial" w:cs="Arial"/>
          <w:bCs/>
          <w:sz w:val="18"/>
          <w:szCs w:val="18"/>
        </w:rPr>
        <w:t xml:space="preserve"> kg CO</w:t>
      </w:r>
      <w:r w:rsidR="0034731F" w:rsidRPr="00741E29">
        <w:rPr>
          <w:rFonts w:ascii="Cambria Math" w:hAnsi="Cambria Math" w:cs="Cambria Math"/>
          <w:bCs/>
          <w:sz w:val="18"/>
          <w:szCs w:val="18"/>
        </w:rPr>
        <w:t>₂</w:t>
      </w:r>
      <w:r w:rsidR="0034731F" w:rsidRPr="00741E29">
        <w:rPr>
          <w:rFonts w:ascii="Arial" w:hAnsi="Arial" w:cs="Arial"/>
          <w:bCs/>
          <w:sz w:val="18"/>
          <w:szCs w:val="18"/>
        </w:rPr>
        <w:t>/m².</w:t>
      </w:r>
    </w:p>
    <w:bookmarkEnd w:id="15"/>
    <w:bookmarkEnd w:id="16"/>
    <w:bookmarkEnd w:id="17"/>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7A3154C"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8D43F1">
      <w:rPr>
        <w:rFonts w:ascii="Arial" w:hAnsi="Arial" w:cs="Arial"/>
        <w:sz w:val="12"/>
      </w:rPr>
      <w:t>Mars</w:t>
    </w:r>
    <w:r>
      <w:rPr>
        <w:rFonts w:ascii="Arial" w:hAnsi="Arial" w:cs="Arial"/>
        <w:sz w:val="12"/>
      </w:rPr>
      <w:t xml:space="preserve"> 202</w:t>
    </w:r>
    <w:bookmarkEnd w:id="18"/>
    <w:bookmarkEnd w:id="19"/>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F1497"/>
    <w:rsid w:val="00151193"/>
    <w:rsid w:val="001514A7"/>
    <w:rsid w:val="001960BF"/>
    <w:rsid w:val="00197A46"/>
    <w:rsid w:val="001D2DEF"/>
    <w:rsid w:val="001F39D5"/>
    <w:rsid w:val="002164F1"/>
    <w:rsid w:val="00262707"/>
    <w:rsid w:val="0034731F"/>
    <w:rsid w:val="003554B3"/>
    <w:rsid w:val="00372E25"/>
    <w:rsid w:val="003B6D8D"/>
    <w:rsid w:val="003D5F66"/>
    <w:rsid w:val="003D6A40"/>
    <w:rsid w:val="003D7C08"/>
    <w:rsid w:val="003F3D8B"/>
    <w:rsid w:val="00446576"/>
    <w:rsid w:val="00456330"/>
    <w:rsid w:val="00481444"/>
    <w:rsid w:val="004833D8"/>
    <w:rsid w:val="0049039C"/>
    <w:rsid w:val="0049262C"/>
    <w:rsid w:val="00497189"/>
    <w:rsid w:val="004B58C0"/>
    <w:rsid w:val="00502134"/>
    <w:rsid w:val="00521EEC"/>
    <w:rsid w:val="005515AE"/>
    <w:rsid w:val="00561B07"/>
    <w:rsid w:val="00567161"/>
    <w:rsid w:val="00576098"/>
    <w:rsid w:val="00583173"/>
    <w:rsid w:val="005A1087"/>
    <w:rsid w:val="005D6B49"/>
    <w:rsid w:val="00613A2D"/>
    <w:rsid w:val="00626AD9"/>
    <w:rsid w:val="0063215B"/>
    <w:rsid w:val="006C5A38"/>
    <w:rsid w:val="0071118D"/>
    <w:rsid w:val="007150CC"/>
    <w:rsid w:val="007358FD"/>
    <w:rsid w:val="007510B6"/>
    <w:rsid w:val="0078281A"/>
    <w:rsid w:val="007A3FFD"/>
    <w:rsid w:val="007B19ED"/>
    <w:rsid w:val="00822E00"/>
    <w:rsid w:val="00841C24"/>
    <w:rsid w:val="00847D15"/>
    <w:rsid w:val="00864E3F"/>
    <w:rsid w:val="00880379"/>
    <w:rsid w:val="0089118F"/>
    <w:rsid w:val="008A5B67"/>
    <w:rsid w:val="008D43F1"/>
    <w:rsid w:val="008F3E8E"/>
    <w:rsid w:val="00965E80"/>
    <w:rsid w:val="00980777"/>
    <w:rsid w:val="00A10ACE"/>
    <w:rsid w:val="00A10D1A"/>
    <w:rsid w:val="00A26EC7"/>
    <w:rsid w:val="00A43D5F"/>
    <w:rsid w:val="00AD6373"/>
    <w:rsid w:val="00B02789"/>
    <w:rsid w:val="00B47AE7"/>
    <w:rsid w:val="00B51349"/>
    <w:rsid w:val="00B76C6A"/>
    <w:rsid w:val="00BD4C8B"/>
    <w:rsid w:val="00BE2C06"/>
    <w:rsid w:val="00BF1BF1"/>
    <w:rsid w:val="00C17232"/>
    <w:rsid w:val="00C35CB2"/>
    <w:rsid w:val="00C510A8"/>
    <w:rsid w:val="00C56186"/>
    <w:rsid w:val="00C73220"/>
    <w:rsid w:val="00C90AA7"/>
    <w:rsid w:val="00CD439D"/>
    <w:rsid w:val="00CF17AF"/>
    <w:rsid w:val="00D41E0A"/>
    <w:rsid w:val="00D83E76"/>
    <w:rsid w:val="00D957FE"/>
    <w:rsid w:val="00DB6679"/>
    <w:rsid w:val="00DD1AED"/>
    <w:rsid w:val="00E179C4"/>
    <w:rsid w:val="00E40068"/>
    <w:rsid w:val="00E44676"/>
    <w:rsid w:val="00E7430B"/>
    <w:rsid w:val="00EA6E70"/>
    <w:rsid w:val="00EE14B6"/>
    <w:rsid w:val="00F059D4"/>
    <w:rsid w:val="00F17B56"/>
    <w:rsid w:val="00F258AB"/>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6598">
      <w:bodyDiv w:val="1"/>
      <w:marLeft w:val="0"/>
      <w:marRight w:val="0"/>
      <w:marTop w:val="0"/>
      <w:marBottom w:val="0"/>
      <w:divBdr>
        <w:top w:val="none" w:sz="0" w:space="0" w:color="auto"/>
        <w:left w:val="none" w:sz="0" w:space="0" w:color="auto"/>
        <w:bottom w:val="none" w:sz="0" w:space="0" w:color="auto"/>
        <w:right w:val="none" w:sz="0" w:space="0" w:color="auto"/>
      </w:divBdr>
      <w:divsChild>
        <w:div w:id="1626545782">
          <w:marLeft w:val="0"/>
          <w:marRight w:val="0"/>
          <w:marTop w:val="0"/>
          <w:marBottom w:val="0"/>
          <w:divBdr>
            <w:top w:val="none" w:sz="0" w:space="0" w:color="auto"/>
            <w:left w:val="none" w:sz="0" w:space="0" w:color="auto"/>
            <w:bottom w:val="none" w:sz="0" w:space="0" w:color="auto"/>
            <w:right w:val="none" w:sz="0" w:space="0" w:color="auto"/>
          </w:divBdr>
        </w:div>
      </w:divsChild>
    </w:div>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092973697">
      <w:bodyDiv w:val="1"/>
      <w:marLeft w:val="0"/>
      <w:marRight w:val="0"/>
      <w:marTop w:val="0"/>
      <w:marBottom w:val="0"/>
      <w:divBdr>
        <w:top w:val="none" w:sz="0" w:space="0" w:color="auto"/>
        <w:left w:val="none" w:sz="0" w:space="0" w:color="auto"/>
        <w:bottom w:val="none" w:sz="0" w:space="0" w:color="auto"/>
        <w:right w:val="none" w:sz="0" w:space="0" w:color="auto"/>
      </w:divBdr>
      <w:divsChild>
        <w:div w:id="1031295534">
          <w:marLeft w:val="0"/>
          <w:marRight w:val="0"/>
          <w:marTop w:val="0"/>
          <w:marBottom w:val="0"/>
          <w:divBdr>
            <w:top w:val="none" w:sz="0" w:space="0" w:color="auto"/>
            <w:left w:val="none" w:sz="0" w:space="0" w:color="auto"/>
            <w:bottom w:val="none" w:sz="0" w:space="0" w:color="auto"/>
            <w:right w:val="none" w:sz="0" w:space="0" w:color="auto"/>
          </w:divBdr>
        </w:div>
      </w:divsChild>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514A7"/>
    <w:rsid w:val="002164F1"/>
    <w:rsid w:val="00372E25"/>
    <w:rsid w:val="00561B07"/>
    <w:rsid w:val="0063215B"/>
    <w:rsid w:val="006A630B"/>
    <w:rsid w:val="007510B6"/>
    <w:rsid w:val="007E012C"/>
    <w:rsid w:val="00864E3F"/>
    <w:rsid w:val="00A26EC7"/>
    <w:rsid w:val="00C35CB2"/>
    <w:rsid w:val="00D83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12C"/>
    <w:rPr>
      <w:color w:val="808080"/>
    </w:rPr>
  </w:style>
  <w:style w:type="paragraph" w:customStyle="1" w:styleId="1E74957A16694C1AAF9D86F9A74CFA331">
    <w:name w:val="1E74957A16694C1AAF9D86F9A74CFA331"/>
    <w:rsid w:val="007E012C"/>
    <w:pPr>
      <w:spacing w:after="0" w:line="240" w:lineRule="auto"/>
    </w:pPr>
    <w:rPr>
      <w:rFonts w:ascii="Times New Roman" w:eastAsia="Times New Roman" w:hAnsi="Times New Roman" w:cs="Times New Roman"/>
      <w:kern w:val="0"/>
      <w:sz w:val="20"/>
      <w:szCs w:val="20"/>
      <w14:ligatures w14:val="none"/>
    </w:rPr>
  </w:style>
  <w:style w:type="paragraph" w:customStyle="1" w:styleId="9A4BCA60C64F484DA44C5A3ED13CFF3C">
    <w:name w:val="9A4BCA60C64F484DA44C5A3ED13CFF3C"/>
    <w:rsid w:val="006A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4</cp:revision>
  <dcterms:created xsi:type="dcterms:W3CDTF">2026-06-04T12:16:00Z</dcterms:created>
  <dcterms:modified xsi:type="dcterms:W3CDTF">2026-06-05T09:41:00Z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